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15" w:rsidRPr="00747815" w:rsidRDefault="00747815" w:rsidP="00747815">
      <w:r w:rsidRPr="00747815">
        <w:t>Материально-техническое обеспечение и оснащенность образовательного процесса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4FC9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753"/>
        <w:gridCol w:w="45"/>
        <w:gridCol w:w="4716"/>
      </w:tblGrid>
      <w:tr w:rsidR="00747815" w:rsidRPr="00747815" w:rsidTr="00747815">
        <w:tc>
          <w:tcPr>
            <w:tcW w:w="16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      </w:r>
          </w:p>
        </w:tc>
      </w:tr>
      <w:tr w:rsidR="00747815" w:rsidRPr="00747815" w:rsidTr="00747815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Объекты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Перечень</w:t>
            </w:r>
          </w:p>
        </w:tc>
        <w:tc>
          <w:tcPr>
            <w:tcW w:w="8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Средства обучения и воспитания</w:t>
            </w:r>
          </w:p>
        </w:tc>
      </w:tr>
      <w:tr w:rsidR="00747815" w:rsidRPr="00747815" w:rsidTr="00747815">
        <w:tc>
          <w:tcPr>
            <w:tcW w:w="5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Учебные кабинеты и объекты для проведения практических занятий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Групповые помещения</w:t>
            </w:r>
          </w:p>
        </w:tc>
        <w:tc>
          <w:tcPr>
            <w:tcW w:w="8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Перечень средств обучения и воспитания по группам</w:t>
            </w:r>
          </w:p>
        </w:tc>
      </w:tr>
      <w:tr w:rsidR="00747815" w:rsidRPr="00747815" w:rsidTr="007478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/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Музыкальный зал</w:t>
            </w:r>
          </w:p>
        </w:tc>
        <w:tc>
          <w:tcPr>
            <w:tcW w:w="8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Перечень средств обучения и воспитания</w:t>
            </w:r>
          </w:p>
        </w:tc>
      </w:tr>
      <w:tr w:rsidR="00747815" w:rsidRPr="00747815" w:rsidTr="00747815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Методический кабинет</w:t>
            </w:r>
          </w:p>
        </w:tc>
        <w:tc>
          <w:tcPr>
            <w:tcW w:w="8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Обеспеченность методическими материалами и средствами обучения и воспитания в ДОУ</w:t>
            </w:r>
          </w:p>
        </w:tc>
      </w:tr>
      <w:tr w:rsidR="00747815" w:rsidRPr="00747815" w:rsidTr="00747815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Библиотека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-</w:t>
            </w:r>
          </w:p>
        </w:tc>
        <w:tc>
          <w:tcPr>
            <w:tcW w:w="8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-</w:t>
            </w:r>
          </w:p>
        </w:tc>
      </w:tr>
      <w:tr w:rsidR="00747815" w:rsidRPr="00747815" w:rsidTr="00747815">
        <w:tc>
          <w:tcPr>
            <w:tcW w:w="5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Объекты спорта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Физкультурный зал</w:t>
            </w:r>
          </w:p>
        </w:tc>
        <w:tc>
          <w:tcPr>
            <w:tcW w:w="8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>
              <w:t>Совмещен с музыкальным залом</w:t>
            </w:r>
          </w:p>
        </w:tc>
      </w:tr>
      <w:tr w:rsidR="00747815" w:rsidRPr="00747815" w:rsidTr="007478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/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Спортивная площадка</w:t>
            </w:r>
          </w:p>
        </w:tc>
        <w:tc>
          <w:tcPr>
            <w:tcW w:w="8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Перечень средств обучения и воспитания</w:t>
            </w:r>
          </w:p>
        </w:tc>
      </w:tr>
      <w:tr w:rsidR="00747815" w:rsidRPr="00747815" w:rsidTr="007478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/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Плавательный бассейн</w:t>
            </w:r>
          </w:p>
        </w:tc>
        <w:tc>
          <w:tcPr>
            <w:tcW w:w="8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отсутствует</w:t>
            </w:r>
          </w:p>
        </w:tc>
      </w:tr>
      <w:tr w:rsidR="00747815" w:rsidRPr="00747815" w:rsidTr="00747815">
        <w:tc>
          <w:tcPr>
            <w:tcW w:w="16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Информация об условиях питания обучающихся</w:t>
            </w:r>
          </w:p>
        </w:tc>
      </w:tr>
      <w:tr w:rsidR="00747815" w:rsidRPr="00747815" w:rsidTr="00747815">
        <w:tc>
          <w:tcPr>
            <w:tcW w:w="16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Питание в дошкольной образовательной организации организуется в соответствии с </w:t>
            </w:r>
            <w:hyperlink r:id="rId5" w:history="1">
              <w:r w:rsidRPr="00747815">
                <w:rPr>
                  <w:rStyle w:val="a4"/>
                </w:rPr>
                <w:t>Постановлением Главного государственного санитарного врача Российской Федерации от 27.10.2020 г. № 32 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  </w:r>
            </w:hyperlink>
            <w:r w:rsidR="00C17FD8">
              <w:rPr>
                <w:rStyle w:val="a4"/>
                <w:u w:val="none"/>
              </w:rPr>
              <w:t xml:space="preserve"> </w:t>
            </w:r>
            <w:r w:rsidR="00C17FD8">
              <w:rPr>
                <w:rStyle w:val="a4"/>
                <w:color w:val="FF0000"/>
                <w:u w:val="none"/>
              </w:rPr>
              <w:t>(</w:t>
            </w:r>
            <w:hyperlink r:id="rId6" w:history="1">
              <w:r w:rsidR="00C17FD8" w:rsidRPr="00C17FD8">
                <w:rPr>
                  <w:rStyle w:val="a4"/>
                  <w:color w:val="FF0000"/>
                </w:rPr>
                <w:t>http://docs.cntd.ru/document/566276706</w:t>
              </w:r>
            </w:hyperlink>
            <w:r w:rsidR="00C17FD8">
              <w:rPr>
                <w:rStyle w:val="a4"/>
                <w:color w:val="FF0000"/>
                <w:u w:val="none"/>
              </w:rPr>
              <w:t xml:space="preserve"> - ссылка)</w:t>
            </w:r>
            <w:r w:rsidRPr="00747815">
              <w:t>, в соответствии с </w:t>
            </w:r>
            <w:hyperlink r:id="rId7" w:history="1">
              <w:r w:rsidRPr="00747815">
                <w:rPr>
                  <w:rStyle w:val="a4"/>
                </w:rPr>
                <w:t>Постановлением Главного государственного санитарного врача Российской Федерации от 28.09.2020 № 28 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</w:t>
              </w:r>
            </w:hyperlink>
            <w:r w:rsidRPr="00747815">
              <w:t>"</w:t>
            </w:r>
            <w:r w:rsidR="00C17FD8">
              <w:t xml:space="preserve"> </w:t>
            </w:r>
            <w:r w:rsidR="00C17FD8" w:rsidRPr="00C17FD8">
              <w:rPr>
                <w:color w:val="FF0000"/>
              </w:rPr>
              <w:t>(</w:t>
            </w:r>
            <w:hyperlink r:id="rId8" w:history="1">
              <w:r w:rsidR="00C17FD8" w:rsidRPr="00C17FD8">
                <w:rPr>
                  <w:rStyle w:val="a4"/>
                  <w:color w:val="FF0000"/>
                </w:rPr>
                <w:t>http://publication.pravo.gov.ru/Document/View/0001202012210122</w:t>
              </w:r>
            </w:hyperlink>
            <w:r w:rsidR="00C17FD8" w:rsidRPr="00C17FD8">
              <w:rPr>
                <w:color w:val="FF0000"/>
              </w:rPr>
              <w:t xml:space="preserve"> - ссылка)</w:t>
            </w:r>
            <w:r w:rsidRPr="00C17FD8">
              <w:rPr>
                <w:color w:val="FF0000"/>
              </w:rPr>
              <w:t> </w:t>
            </w:r>
            <w:r w:rsidRPr="00747815">
              <w:t>и в соответствии с </w:t>
            </w:r>
            <w:hyperlink r:id="rId9" w:history="1">
              <w:r w:rsidRPr="00747815">
                <w:rPr>
                  <w:rStyle w:val="a4"/>
                </w:rPr>
                <w:t>Постановлением Главного государственного санитарного врача Российской Федерации от 30.06.2020 № 16 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 в условиях распространения новой коронавирусной инфекции (COVID-19)"</w:t>
              </w:r>
            </w:hyperlink>
            <w:r w:rsidRPr="00747815">
              <w:t> </w:t>
            </w:r>
            <w:r w:rsidR="00C17FD8" w:rsidRPr="00C17FD8">
              <w:rPr>
                <w:color w:val="FF0000"/>
              </w:rPr>
              <w:t>(</w:t>
            </w:r>
            <w:hyperlink r:id="rId10" w:history="1">
              <w:r w:rsidR="00C17FD8" w:rsidRPr="00C17FD8">
                <w:rPr>
                  <w:rStyle w:val="a4"/>
                  <w:color w:val="FF0000"/>
                </w:rPr>
                <w:t>http://publication.pravo.gov.ru/Document/View/0001202007030021</w:t>
              </w:r>
            </w:hyperlink>
            <w:r w:rsidR="00C17FD8" w:rsidRPr="00C17FD8">
              <w:rPr>
                <w:color w:val="FF0000"/>
              </w:rPr>
              <w:t xml:space="preserve"> - ссылка) </w:t>
            </w:r>
            <w:r w:rsidRPr="00747815">
              <w:t>и регламентируется следующим локальными актами:</w:t>
            </w:r>
          </w:p>
          <w:p w:rsidR="00747815" w:rsidRPr="00747815" w:rsidRDefault="00747815" w:rsidP="00747815">
            <w:r w:rsidRPr="00747815">
              <w:t>Приказ об организации питания в ДОУ на 2021 год</w:t>
            </w:r>
          </w:p>
          <w:p w:rsidR="00747815" w:rsidRPr="00747815" w:rsidRDefault="00747815" w:rsidP="00747815">
            <w:r w:rsidRPr="00747815">
              <w:t>Десятидневное меню</w:t>
            </w:r>
          </w:p>
          <w:p w:rsidR="00747815" w:rsidRPr="00747815" w:rsidRDefault="00747815" w:rsidP="00747815">
            <w:r w:rsidRPr="00747815">
              <w:t>Положение об организации питания в ДОУ</w:t>
            </w:r>
          </w:p>
          <w:p w:rsidR="00747815" w:rsidRPr="00747815" w:rsidRDefault="00747815" w:rsidP="00747815">
            <w:r w:rsidRPr="00747815">
              <w:t xml:space="preserve">Контроль качества питания, разнообразия блюд, витаминизации третьего блюда, вкусовых качеств пищи, закладки продуктов питания, кулинарной обработки, правильности хранения и соблюдения сроков реализации осуществляется заведующим ДОУ и </w:t>
            </w:r>
            <w:proofErr w:type="spellStart"/>
            <w:r w:rsidRPr="00747815">
              <w:t>бракеражной</w:t>
            </w:r>
            <w:proofErr w:type="spellEnd"/>
            <w:r w:rsidRPr="00747815">
              <w:t xml:space="preserve"> комиссией. </w:t>
            </w:r>
          </w:p>
          <w:p w:rsidR="00747815" w:rsidRPr="00747815" w:rsidRDefault="00747815" w:rsidP="00747815">
            <w:r w:rsidRPr="00747815">
              <w:lastRenderedPageBreak/>
              <w:t>В учреждении организовано 4-х разовое питание воспитанников: завтрак, обед, полдник и ужин. В 10.00 воспитанникам подаются соки.</w:t>
            </w:r>
          </w:p>
          <w:p w:rsidR="00747815" w:rsidRPr="00747815" w:rsidRDefault="00747815" w:rsidP="00747815">
            <w:r w:rsidRPr="00747815">
              <w:t>В ДОУ утверждено меню, разработаны технологические карты приготовления блюд.</w:t>
            </w:r>
          </w:p>
          <w:p w:rsidR="00747815" w:rsidRPr="00747815" w:rsidRDefault="00747815" w:rsidP="00747815">
            <w:r w:rsidRPr="00747815">
              <w:t>Для организации сбалансированного питания воспитанников в учреждении разработана и ведется необходимая нормативная документация. Ежегодно издается приказ заведующего ДОУ «Об организации питания в ДОУ»; разработано Положение об организации питания в ДОУ, ведется ежедневный контроль за качеством приготовления блюд. Документация по организации питания воспитанников ведется кладовщиком и поваром детского питания в соответствии с требованиями СанПиН.</w:t>
            </w:r>
          </w:p>
          <w:p w:rsidR="00747815" w:rsidRPr="00747815" w:rsidRDefault="00747815" w:rsidP="00747815">
            <w:r w:rsidRPr="00747815">
              <w:t>Питьевой режим осуществляетс</w:t>
            </w:r>
            <w:r w:rsidR="009E22BE">
              <w:t>я с помощью бутилированной воды.</w:t>
            </w:r>
          </w:p>
          <w:p w:rsidR="00747815" w:rsidRPr="00747815" w:rsidRDefault="00747815" w:rsidP="00747815">
            <w:r w:rsidRPr="00747815">
              <w:t>При необходимости осуществляется замена продуктов (по медицинским показаниям).</w:t>
            </w:r>
          </w:p>
        </w:tc>
      </w:tr>
      <w:tr w:rsidR="00747815" w:rsidRPr="00747815" w:rsidTr="00747815">
        <w:tc>
          <w:tcPr>
            <w:tcW w:w="16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lastRenderedPageBreak/>
              <w:t>Информация об условиях охраны здоровья обучающихся</w:t>
            </w:r>
          </w:p>
        </w:tc>
      </w:tr>
      <w:tr w:rsidR="00747815" w:rsidRPr="00747815" w:rsidTr="00747815">
        <w:tc>
          <w:tcPr>
            <w:tcW w:w="16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C17FD8" w:rsidRDefault="00747815" w:rsidP="00747815">
            <w:pPr>
              <w:rPr>
                <w:color w:val="FF0000"/>
              </w:rPr>
            </w:pPr>
            <w:r w:rsidRPr="00747815">
              <w:t>Охрана здоровья обучающихся обеспечивается в соответствии с </w:t>
            </w:r>
            <w:hyperlink r:id="rId11" w:history="1">
              <w:r w:rsidRPr="00747815">
                <w:rPr>
                  <w:rStyle w:val="a4"/>
                </w:rPr>
                <w:t>Постановлением Главного государственного санитарного врача Российской Федерации от 28.09.2020 № 28 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        </w:r>
            </w:hyperlink>
            <w:r w:rsidR="00C17FD8">
              <w:rPr>
                <w:rStyle w:val="a4"/>
                <w:u w:val="none"/>
              </w:rPr>
              <w:t xml:space="preserve"> </w:t>
            </w:r>
            <w:r w:rsidR="00C17FD8" w:rsidRPr="00C17FD8">
              <w:rPr>
                <w:rStyle w:val="a4"/>
                <w:color w:val="FF0000"/>
                <w:u w:val="none"/>
              </w:rPr>
              <w:t>(</w:t>
            </w:r>
            <w:hyperlink r:id="rId12" w:history="1">
              <w:r w:rsidR="00C17FD8" w:rsidRPr="00C17FD8">
                <w:rPr>
                  <w:rStyle w:val="a4"/>
                  <w:color w:val="FF0000"/>
                </w:rPr>
                <w:t>http://publication.pravo.gov.ru/Document/View/0001202012210122</w:t>
              </w:r>
            </w:hyperlink>
            <w:r w:rsidR="00C17FD8" w:rsidRPr="00C17FD8">
              <w:rPr>
                <w:rStyle w:val="a4"/>
                <w:color w:val="FF0000"/>
                <w:u w:val="none"/>
              </w:rPr>
              <w:t xml:space="preserve"> - ссылка)</w:t>
            </w:r>
          </w:p>
          <w:p w:rsidR="00747815" w:rsidRPr="00747815" w:rsidRDefault="00747815" w:rsidP="00747815">
            <w:r w:rsidRPr="00747815">
              <w:t>и в соответствии с </w:t>
            </w:r>
            <w:hyperlink r:id="rId13" w:history="1">
              <w:r w:rsidRPr="00747815">
                <w:rPr>
                  <w:rStyle w:val="a4"/>
                </w:rPr>
                <w:t>Постановлением Главного государственного санитарного врача Российской Федерации от 30.06.2020 № 16 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 (COVID-19)"</w:t>
              </w:r>
            </w:hyperlink>
            <w:r w:rsidR="00C17FD8">
              <w:t xml:space="preserve"> </w:t>
            </w:r>
            <w:r w:rsidR="00C17FD8" w:rsidRPr="00C17FD8">
              <w:rPr>
                <w:color w:val="FF0000"/>
              </w:rPr>
              <w:t>(</w:t>
            </w:r>
            <w:hyperlink r:id="rId14" w:history="1">
              <w:r w:rsidR="00C17FD8" w:rsidRPr="00C17FD8">
                <w:rPr>
                  <w:rStyle w:val="a4"/>
                  <w:color w:val="FF0000"/>
                </w:rPr>
                <w:t>http://publication.pravo.gov.ru/Document/View/0001202007030021</w:t>
              </w:r>
            </w:hyperlink>
            <w:r w:rsidR="00C17FD8" w:rsidRPr="00C17FD8">
              <w:rPr>
                <w:rStyle w:val="a4"/>
                <w:color w:val="FF0000"/>
              </w:rPr>
              <w:t xml:space="preserve"> - ссылка)</w:t>
            </w:r>
          </w:p>
          <w:p w:rsidR="00747815" w:rsidRPr="00747815" w:rsidRDefault="00747815" w:rsidP="00747815">
            <w:r w:rsidRPr="00747815">
              <w:t> и регламентируется следующим локальными актами:</w:t>
            </w:r>
          </w:p>
          <w:p w:rsidR="00747815" w:rsidRPr="00747815" w:rsidRDefault="00747815" w:rsidP="00747815">
            <w:r w:rsidRPr="00747815">
              <w:t xml:space="preserve">инструкция по оказанию первой </w:t>
            </w:r>
            <w:proofErr w:type="spellStart"/>
            <w:r w:rsidRPr="00747815">
              <w:t>доврачеб</w:t>
            </w:r>
            <w:proofErr w:type="spellEnd"/>
            <w:r w:rsidRPr="00747815">
              <w:t>. медицинской помощи</w:t>
            </w:r>
          </w:p>
          <w:p w:rsidR="00747815" w:rsidRPr="00747815" w:rsidRDefault="00747815" w:rsidP="00747815">
            <w:r w:rsidRPr="00747815">
              <w:t>приказ о расследовании и учете несчастных случаев с воспитанниками</w:t>
            </w:r>
          </w:p>
          <w:p w:rsidR="00747815" w:rsidRPr="00747815" w:rsidRDefault="00747815" w:rsidP="00747815">
            <w:r w:rsidRPr="00747815">
              <w:t>Положение об организации работы в сфере профилактики безнадзорности и правонарушений несовершеннолетних со стороны ДОУ,</w:t>
            </w:r>
          </w:p>
          <w:p w:rsidR="00747815" w:rsidRPr="00747815" w:rsidRDefault="00747815" w:rsidP="00747815">
            <w:r w:rsidRPr="00747815">
              <w:t>Положение об организации видеонаблюдения на территории ДОУ</w:t>
            </w:r>
          </w:p>
          <w:p w:rsidR="00747815" w:rsidRPr="00747815" w:rsidRDefault="00747815" w:rsidP="00747815">
            <w:r w:rsidRPr="00747815">
              <w:t>Правила организации фото- и видеосъемки в ДОУ</w:t>
            </w:r>
          </w:p>
          <w:p w:rsidR="00747815" w:rsidRPr="00747815" w:rsidRDefault="00747815" w:rsidP="00747815">
            <w:r w:rsidRPr="00747815">
              <w:t>Порядок пользования воспитанниками лечебно-оздоровительной инфраструктурой ДОУ</w:t>
            </w:r>
          </w:p>
          <w:p w:rsidR="00747815" w:rsidRPr="00747815" w:rsidRDefault="00747815" w:rsidP="00747815">
            <w:r w:rsidRPr="00747815">
              <w:t>Правила организованной перевозки группы детей ДОУ автобусами</w:t>
            </w:r>
          </w:p>
          <w:p w:rsidR="00747815" w:rsidRPr="00747815" w:rsidRDefault="00747815" w:rsidP="00747815">
            <w:r w:rsidRPr="00747815">
              <w:t>Требованиях к одежде воспитанников ДОУ</w:t>
            </w:r>
          </w:p>
          <w:p w:rsidR="00747815" w:rsidRPr="00747815" w:rsidRDefault="00747815" w:rsidP="00747815">
            <w:r w:rsidRPr="00747815">
              <w:t>Инструкция по охране жизни и здоровья воспитанников</w:t>
            </w:r>
          </w:p>
          <w:p w:rsidR="00747815" w:rsidRPr="00747815" w:rsidRDefault="00747815" w:rsidP="00747815">
            <w:r w:rsidRPr="00747815">
              <w:t>В ОО созданы условия для охраны здоровья воспитанни</w:t>
            </w:r>
            <w:bookmarkStart w:id="0" w:name="_GoBack"/>
            <w:bookmarkEnd w:id="0"/>
            <w:r w:rsidRPr="00747815">
              <w:t xml:space="preserve">ков организацией, осуществляющей образовательную деятельность, при реализации образовательных программ созданы, в том числе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 В ОО созданы условия для охраны здоровья воспитанников организацией, осуществляющей образовательную </w:t>
            </w:r>
            <w:r w:rsidRPr="00747815">
              <w:lastRenderedPageBreak/>
              <w:t>деятельность, при реализации образовательных программ создаются, в том числе расследование и учет несчастных случаев с воспитанниками во время пребывания в организации, осуществляющей образовательную деятельность, в законном порядке. Охрана здоровья воспитанников включает в себя проведение санитарно-противоэпидемических и профилактических мероприятий.</w:t>
            </w:r>
          </w:p>
          <w:p w:rsidR="00747815" w:rsidRPr="00747815" w:rsidRDefault="00747815" w:rsidP="00747815">
            <w:r w:rsidRPr="00747815">
              <w:t xml:space="preserve">В ДОУ созданы все необходимые меры и условия охраны жизни и здоровья воспитанников, в том числе инвалидов и лиц с ограниченными возможностями здоровья с </w:t>
            </w:r>
            <w:proofErr w:type="spellStart"/>
            <w:r w:rsidRPr="00747815">
              <w:t>нерезко</w:t>
            </w:r>
            <w:proofErr w:type="spellEnd"/>
            <w:r w:rsidRPr="00747815">
              <w:t xml:space="preserve"> выраженными отклонениями в развитии двигательной, сенсорной или интеллектуальной сферы.</w:t>
            </w:r>
          </w:p>
          <w:p w:rsidR="00747815" w:rsidRPr="00747815" w:rsidRDefault="00747815" w:rsidP="00747815">
            <w:r w:rsidRPr="00747815">
              <w:t xml:space="preserve">В дошкольной образовательной организации разработана и реализуется комплексная программа по организации </w:t>
            </w:r>
            <w:proofErr w:type="spellStart"/>
            <w:r w:rsidRPr="00747815">
              <w:t>здоровьесберегающей</w:t>
            </w:r>
            <w:proofErr w:type="spellEnd"/>
            <w:r w:rsidRPr="00747815">
              <w:t xml:space="preserve"> деятельности на 2019-2021 гг.</w:t>
            </w:r>
          </w:p>
          <w:p w:rsidR="00747815" w:rsidRPr="00747815" w:rsidRDefault="00747815" w:rsidP="00747815">
            <w:r w:rsidRPr="00747815">
              <w:t xml:space="preserve">Медицинское обслуживание осуществляется </w:t>
            </w:r>
            <w:r>
              <w:t>на основании соглашения с КГБУЗ «</w:t>
            </w:r>
            <w:r w:rsidRPr="00747815">
              <w:t>Детская городская детская поликлиника № 1».</w:t>
            </w:r>
          </w:p>
          <w:p w:rsidR="00747815" w:rsidRPr="00747815" w:rsidRDefault="00747815" w:rsidP="00747815">
            <w:r w:rsidRPr="00747815">
              <w:t>В здании дошкольной образовательной организации имеется медицинский кабинет, процедурный кабинет</w:t>
            </w:r>
            <w:r w:rsidR="009E22BE">
              <w:t>.</w:t>
            </w:r>
          </w:p>
          <w:p w:rsidR="00747815" w:rsidRPr="00747815" w:rsidRDefault="00747815" w:rsidP="00747815">
            <w:r w:rsidRPr="00747815">
              <w:t>В каждой группе имеются аптечки для оказания первой помощи.</w:t>
            </w:r>
          </w:p>
          <w:p w:rsidR="00747815" w:rsidRPr="00747815" w:rsidRDefault="00747815" w:rsidP="00747815">
            <w:r w:rsidRPr="00747815">
              <w:t>Все    педагогические    работники образовательной организации обучены навыкам оказания первой помощи.</w:t>
            </w:r>
          </w:p>
        </w:tc>
      </w:tr>
      <w:tr w:rsidR="00747815" w:rsidRPr="00747815" w:rsidTr="00747815">
        <w:tc>
          <w:tcPr>
            <w:tcW w:w="16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lastRenderedPageBreak/>
              <w:t>Информация о доступе к информационным системам и информационно-телекоммуникационным сетям</w:t>
            </w:r>
          </w:p>
        </w:tc>
      </w:tr>
      <w:tr w:rsidR="00747815" w:rsidRPr="00747815" w:rsidTr="00747815">
        <w:tc>
          <w:tcPr>
            <w:tcW w:w="16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В дошкольной образовательной организации обеспечивается доступ педагогических работников к информационным системам и информационно-телекоммуникационным сетям.</w:t>
            </w:r>
          </w:p>
          <w:p w:rsidR="00747815" w:rsidRPr="00747815" w:rsidRDefault="00747815" w:rsidP="00747815">
            <w:r w:rsidRPr="00747815">
      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ДОУ</w:t>
            </w:r>
          </w:p>
          <w:p w:rsidR="00747815" w:rsidRPr="00747815" w:rsidRDefault="00747815" w:rsidP="00747815">
            <w:r w:rsidRPr="00747815">
              <w:t>Доступ воспитанников к информационным системам и информационно-телекоммуникационным сетям не осуществляется.</w:t>
            </w:r>
          </w:p>
        </w:tc>
      </w:tr>
      <w:tr w:rsidR="00747815" w:rsidRPr="00747815" w:rsidTr="00747815">
        <w:tc>
          <w:tcPr>
            <w:tcW w:w="16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Информация об электронных образовательных ресурсах, к которым обеспечивается доступ обучающихся</w:t>
            </w:r>
          </w:p>
        </w:tc>
      </w:tr>
      <w:tr w:rsidR="00747815" w:rsidRPr="00747815" w:rsidTr="00747815"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Собственные электронные образовательные и информационные ресурсах (при наличии)</w:t>
            </w:r>
          </w:p>
        </w:tc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-</w:t>
            </w:r>
          </w:p>
        </w:tc>
      </w:tr>
      <w:tr w:rsidR="00747815" w:rsidRPr="00747815" w:rsidTr="00747815"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Сторонние электронные образовательные и информационные ресурсы (при наличии)</w:t>
            </w:r>
          </w:p>
        </w:tc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7815" w:rsidRPr="00747815" w:rsidRDefault="00747815" w:rsidP="00747815">
            <w:r w:rsidRPr="00747815">
              <w:t>Электронные образовательные ресурсы:</w:t>
            </w:r>
          </w:p>
          <w:p w:rsidR="00747815" w:rsidRPr="00747815" w:rsidRDefault="00C17FD8" w:rsidP="00747815">
            <w:hyperlink r:id="rId15" w:history="1">
              <w:r w:rsidR="00747815" w:rsidRPr="00747815">
                <w:rPr>
                  <w:rStyle w:val="a4"/>
                </w:rPr>
                <w:t>http://www</w:t>
              </w:r>
            </w:hyperlink>
            <w:r w:rsidR="00747815" w:rsidRPr="00747815">
              <w:rPr>
                <w:rStyle w:val="a4"/>
              </w:rPr>
              <w:t>.kindereducation.com</w:t>
            </w:r>
            <w:r w:rsidR="00747815" w:rsidRPr="00747815">
              <w:t xml:space="preserve"> – электронный журнал для детей и родителей «Дошколёнок»,</w:t>
            </w:r>
          </w:p>
          <w:p w:rsidR="00747815" w:rsidRPr="00747815" w:rsidRDefault="00C17FD8" w:rsidP="00747815">
            <w:hyperlink r:id="rId16" w:history="1">
              <w:r w:rsidR="00747815" w:rsidRPr="00747815">
                <w:rPr>
                  <w:rStyle w:val="a4"/>
                </w:rPr>
                <w:t>http://www</w:t>
              </w:r>
            </w:hyperlink>
            <w:r w:rsidR="00747815" w:rsidRPr="00747815">
              <w:rPr>
                <w:rStyle w:val="a4"/>
              </w:rPr>
              <w:t>.multirussia.ru/</w:t>
            </w:r>
            <w:r w:rsidR="00747815" w:rsidRPr="00747815">
              <w:t xml:space="preserve"> - сайт «МУЛЬТИ-РОССИЯ»,</w:t>
            </w:r>
          </w:p>
          <w:p w:rsidR="00747815" w:rsidRPr="00747815" w:rsidRDefault="00C17FD8" w:rsidP="00747815">
            <w:hyperlink r:id="rId17" w:history="1">
              <w:r w:rsidR="00747815" w:rsidRPr="00747815">
                <w:rPr>
                  <w:rStyle w:val="a4"/>
                </w:rPr>
                <w:t>http://klepa</w:t>
              </w:r>
            </w:hyperlink>
            <w:r w:rsidR="00747815" w:rsidRPr="00747815">
              <w:rPr>
                <w:rStyle w:val="a4"/>
              </w:rPr>
              <w:t xml:space="preserve">.ru/ </w:t>
            </w:r>
            <w:r w:rsidR="00747815" w:rsidRPr="00747815">
              <w:t>- детский портал «</w:t>
            </w:r>
            <w:proofErr w:type="spellStart"/>
            <w:r w:rsidR="00747815" w:rsidRPr="00747815">
              <w:t>Клепа</w:t>
            </w:r>
            <w:proofErr w:type="spellEnd"/>
            <w:r w:rsidR="00747815" w:rsidRPr="00747815">
              <w:t>».</w:t>
            </w:r>
          </w:p>
        </w:tc>
      </w:tr>
    </w:tbl>
    <w:p w:rsidR="009E22BE" w:rsidRDefault="009E22BE" w:rsidP="00747815"/>
    <w:p w:rsidR="00747815" w:rsidRPr="00747815" w:rsidRDefault="00747815" w:rsidP="00747815">
      <w:r w:rsidRPr="00747815">
        <w:t xml:space="preserve">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</w:t>
      </w:r>
      <w:r w:rsidRPr="00747815">
        <w:lastRenderedPageBreak/>
        <w:t>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 </w:t>
      </w:r>
      <w:hyperlink r:id="rId18" w:history="1">
        <w:r w:rsidRPr="00747815">
          <w:rPr>
            <w:rStyle w:val="a4"/>
            <w:color w:val="auto"/>
            <w:u w:val="none"/>
          </w:rPr>
          <w:t>подробнее</w:t>
        </w:r>
      </w:hyperlink>
      <w:r w:rsidRPr="00747815">
        <w:t>:</w:t>
      </w:r>
      <w:r w:rsidR="009E22BE">
        <w:t xml:space="preserve"> в МАДОУ № 29 детей с ОВЗ нет.</w:t>
      </w:r>
    </w:p>
    <w:p w:rsidR="00747815" w:rsidRPr="00747815" w:rsidRDefault="00747815" w:rsidP="00747815"/>
    <w:p w:rsidR="00747815" w:rsidRPr="00747815" w:rsidRDefault="00747815" w:rsidP="00747815">
      <w:r w:rsidRPr="00747815">
        <w:t> 1. Услуги родителям (законным представителям) из числа инвалидов и иных маломобильных групп населения оказываются информационного характера:</w:t>
      </w:r>
    </w:p>
    <w:p w:rsidR="00747815" w:rsidRPr="00747815" w:rsidRDefault="00747815" w:rsidP="00747815">
      <w:r w:rsidRPr="00747815">
        <w:t> - через сайт </w:t>
      </w:r>
      <w:hyperlink r:id="rId19" w:history="1">
        <w:r w:rsidR="00594D9D" w:rsidRPr="00F85CC1">
          <w:rPr>
            <w:rStyle w:val="a4"/>
          </w:rPr>
          <w:t>http://мадоу-29.рф/</w:t>
        </w:r>
      </w:hyperlink>
      <w:r w:rsidRPr="00747815">
        <w:t>, имеется версия для слабовидящих</w:t>
      </w:r>
    </w:p>
    <w:p w:rsidR="00747815" w:rsidRPr="00747815" w:rsidRDefault="00747815" w:rsidP="00747815">
      <w:r w:rsidRPr="00747815">
        <w:t> - в форме обратной связи через электронную почту </w:t>
      </w:r>
      <w:hyperlink r:id="rId20" w:history="1">
        <w:r w:rsidR="00594D9D" w:rsidRPr="00F85CC1">
          <w:rPr>
            <w:rStyle w:val="a4"/>
            <w:lang w:val="en-US"/>
          </w:rPr>
          <w:t>madou</w:t>
        </w:r>
        <w:r w:rsidR="00594D9D" w:rsidRPr="00594D9D">
          <w:rPr>
            <w:rStyle w:val="a4"/>
          </w:rPr>
          <w:t>_29@</w:t>
        </w:r>
        <w:r w:rsidR="00594D9D" w:rsidRPr="00F85CC1">
          <w:rPr>
            <w:rStyle w:val="a4"/>
            <w:lang w:val="en-US"/>
          </w:rPr>
          <w:t>mail</w:t>
        </w:r>
        <w:r w:rsidR="00594D9D" w:rsidRPr="00594D9D">
          <w:rPr>
            <w:rStyle w:val="a4"/>
          </w:rPr>
          <w:t>.</w:t>
        </w:r>
        <w:proofErr w:type="spellStart"/>
        <w:r w:rsidR="00594D9D" w:rsidRPr="00F85CC1">
          <w:rPr>
            <w:rStyle w:val="a4"/>
            <w:lang w:val="en-US"/>
          </w:rPr>
          <w:t>ru</w:t>
        </w:r>
        <w:proofErr w:type="spellEnd"/>
      </w:hyperlink>
    </w:p>
    <w:p w:rsidR="00747815" w:rsidRPr="00747815" w:rsidRDefault="00747815" w:rsidP="00747815">
      <w:r w:rsidRPr="00747815">
        <w:t xml:space="preserve"> - по телефону напрямую к заведующему МАДОУ № </w:t>
      </w:r>
      <w:r w:rsidR="00594D9D" w:rsidRPr="00594D9D">
        <w:t xml:space="preserve">29 </w:t>
      </w:r>
      <w:r w:rsidR="00594D9D">
        <w:t>–</w:t>
      </w:r>
      <w:r w:rsidRPr="00747815">
        <w:t xml:space="preserve"> </w:t>
      </w:r>
      <w:r w:rsidR="00594D9D">
        <w:t>Дедуль Наталье Викторовне</w:t>
      </w:r>
      <w:r w:rsidRPr="00747815">
        <w:t xml:space="preserve">. Контактный телефон: </w:t>
      </w:r>
      <w:r w:rsidR="00594D9D">
        <w:t>31-99-58</w:t>
      </w:r>
    </w:p>
    <w:p w:rsidR="00747815" w:rsidRPr="00747815" w:rsidRDefault="00747815" w:rsidP="00747815">
      <w:r w:rsidRPr="00747815">
        <w:t xml:space="preserve"> 2. На территории детского сада возможно </w:t>
      </w:r>
      <w:proofErr w:type="spellStart"/>
      <w:r w:rsidRPr="00747815">
        <w:t>безбарьерное</w:t>
      </w:r>
      <w:proofErr w:type="spellEnd"/>
      <w:r w:rsidRPr="00747815">
        <w:t xml:space="preserve"> передвижение лиц из числа инвалидов и маломобильных групп населения.</w:t>
      </w:r>
    </w:p>
    <w:p w:rsidR="009D4735" w:rsidRDefault="00C17FD8" w:rsidP="00747815"/>
    <w:p w:rsidR="00594D9D" w:rsidRDefault="00594D9D" w:rsidP="00747815"/>
    <w:p w:rsidR="00594D9D" w:rsidRDefault="00594D9D" w:rsidP="00747815"/>
    <w:p w:rsidR="00594D9D" w:rsidRDefault="00594D9D" w:rsidP="00747815">
      <w:pPr>
        <w:rPr>
          <w:color w:val="FF0000"/>
        </w:rPr>
      </w:pPr>
    </w:p>
    <w:p w:rsidR="00594D9D" w:rsidRDefault="00594D9D" w:rsidP="00747815">
      <w:pPr>
        <w:rPr>
          <w:color w:val="FF0000"/>
        </w:rPr>
      </w:pPr>
    </w:p>
    <w:p w:rsidR="00594D9D" w:rsidRDefault="00594D9D" w:rsidP="00747815">
      <w:pPr>
        <w:rPr>
          <w:color w:val="FF0000"/>
        </w:rPr>
      </w:pPr>
    </w:p>
    <w:p w:rsidR="00594D9D" w:rsidRDefault="00594D9D" w:rsidP="00747815">
      <w:pPr>
        <w:rPr>
          <w:color w:val="FF0000"/>
        </w:rPr>
      </w:pPr>
    </w:p>
    <w:p w:rsidR="00594D9D" w:rsidRPr="00594D9D" w:rsidRDefault="00594D9D" w:rsidP="00747815">
      <w:pPr>
        <w:rPr>
          <w:color w:val="FF0000"/>
        </w:rPr>
      </w:pPr>
      <w:r w:rsidRPr="00594D9D">
        <w:rPr>
          <w:color w:val="FF0000"/>
        </w:rPr>
        <w:t>(выделенное синим сделать ссылками)</w:t>
      </w:r>
    </w:p>
    <w:sectPr w:rsidR="00594D9D" w:rsidRPr="0059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FA7"/>
    <w:multiLevelType w:val="multilevel"/>
    <w:tmpl w:val="A944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17361"/>
    <w:multiLevelType w:val="multilevel"/>
    <w:tmpl w:val="310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2D5D"/>
    <w:multiLevelType w:val="multilevel"/>
    <w:tmpl w:val="03A4E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66461"/>
    <w:multiLevelType w:val="multilevel"/>
    <w:tmpl w:val="442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77C2E"/>
    <w:multiLevelType w:val="multilevel"/>
    <w:tmpl w:val="88D0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74A33"/>
    <w:multiLevelType w:val="multilevel"/>
    <w:tmpl w:val="9A1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F034D"/>
    <w:multiLevelType w:val="multilevel"/>
    <w:tmpl w:val="A34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60CD5"/>
    <w:multiLevelType w:val="multilevel"/>
    <w:tmpl w:val="F41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005DC"/>
    <w:multiLevelType w:val="multilevel"/>
    <w:tmpl w:val="EA7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47489"/>
    <w:multiLevelType w:val="multilevel"/>
    <w:tmpl w:val="EAD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B2D42"/>
    <w:multiLevelType w:val="multilevel"/>
    <w:tmpl w:val="F17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F61E7"/>
    <w:multiLevelType w:val="multilevel"/>
    <w:tmpl w:val="444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13911"/>
    <w:multiLevelType w:val="multilevel"/>
    <w:tmpl w:val="275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BC"/>
    <w:rsid w:val="001D6933"/>
    <w:rsid w:val="00240406"/>
    <w:rsid w:val="00594D9D"/>
    <w:rsid w:val="00747815"/>
    <w:rsid w:val="007F0A2E"/>
    <w:rsid w:val="009C68B2"/>
    <w:rsid w:val="009E22BE"/>
    <w:rsid w:val="00A843BC"/>
    <w:rsid w:val="00C17FD8"/>
    <w:rsid w:val="00C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829"/>
  <w15:chartTrackingRefBased/>
  <w15:docId w15:val="{4E83779E-1014-45B7-955C-89D68A9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7815"/>
    <w:rPr>
      <w:color w:val="0000FF"/>
      <w:u w:val="single"/>
    </w:rPr>
  </w:style>
  <w:style w:type="character" w:styleId="a5">
    <w:name w:val="Strong"/>
    <w:basedOn w:val="a0"/>
    <w:uiPriority w:val="22"/>
    <w:qFormat/>
    <w:rsid w:val="00747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hyperlink" Target="http://publication.pravo.gov.ru/Document/View/0001202007030021" TargetMode="External"/><Relationship Id="rId18" Type="http://schemas.openxmlformats.org/officeDocument/2006/relationships/hyperlink" Target="http://xn--191-8cdtbf0hi.xn--p1ai/page/22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ublication.pravo.gov.ru/Document/View/0001202012210122" TargetMode="External"/><Relationship Id="rId12" Type="http://schemas.openxmlformats.org/officeDocument/2006/relationships/hyperlink" Target="http://publication.pravo.gov.ru/Document/View/0001202012210122" TargetMode="External"/><Relationship Id="rId17" Type="http://schemas.openxmlformats.org/officeDocument/2006/relationships/hyperlink" Target="http://klep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mailto:madou_2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6276706" TargetMode="External"/><Relationship Id="rId11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hyperlink" Target="http://docs.cntd.ru/document/566276706" TargetMode="Externa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publication.pravo.gov.ru/Document/View/0001202007030021" TargetMode="External"/><Relationship Id="rId19" Type="http://schemas.openxmlformats.org/officeDocument/2006/relationships/hyperlink" Target="http://&#1084;&#1072;&#1076;&#1086;&#1091;-29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030021" TargetMode="External"/><Relationship Id="rId14" Type="http://schemas.openxmlformats.org/officeDocument/2006/relationships/hyperlink" Target="http://publication.pravo.gov.ru/Document/View/0001202007030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Navi</cp:lastModifiedBy>
  <cp:revision>3</cp:revision>
  <dcterms:created xsi:type="dcterms:W3CDTF">2021-02-10T06:55:00Z</dcterms:created>
  <dcterms:modified xsi:type="dcterms:W3CDTF">2021-02-10T07:38:00Z</dcterms:modified>
</cp:coreProperties>
</file>